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18" w:rsidRDefault="00AB7C1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NOMINATION FORM | 2019</w:t>
      </w:r>
    </w:p>
    <w:p w:rsidR="00C5466B" w:rsidRDefault="00750F52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POWER </w:t>
      </w:r>
      <w:r w:rsidR="00AB7C18">
        <w:rPr>
          <w:rFonts w:ascii="Century Gothic" w:hAnsi="Century Gothic" w:cs="Arial"/>
          <w:b/>
          <w:sz w:val="24"/>
          <w:szCs w:val="24"/>
        </w:rPr>
        <w:t xml:space="preserve">SERVICE PROVIDER </w:t>
      </w:r>
      <w:r>
        <w:rPr>
          <w:rFonts w:ascii="Century Gothic" w:hAnsi="Century Gothic" w:cs="Arial"/>
          <w:b/>
          <w:sz w:val="24"/>
          <w:szCs w:val="24"/>
        </w:rPr>
        <w:t>OF THE YEAR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537856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>These awards are for t</w:t>
      </w:r>
      <w:r w:rsidR="00AB7C18">
        <w:rPr>
          <w:rFonts w:ascii="Century Gothic" w:hAnsi="Century Gothic" w:cs="Arial"/>
        </w:rPr>
        <w:t>he 2018/2019</w:t>
      </w:r>
      <w:r w:rsidRPr="00537856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537856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 xml:space="preserve">Deadline for submission – </w:t>
      </w:r>
      <w:r w:rsidR="00AB7C18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DB0125" w:rsidRDefault="00DB0125" w:rsidP="00DB0125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DB0125" w:rsidRDefault="00DB0125" w:rsidP="00DB0125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DB0125" w:rsidRDefault="00DB0125" w:rsidP="00DB0125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DB0125" w:rsidRDefault="00DB0125" w:rsidP="00DB0125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AB7C18" w:rsidRPr="008955EB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AB7C18" w:rsidRPr="008955EB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>
        <w:rPr>
          <w:rFonts w:ascii="Century Gothic" w:hAnsi="Century Gothic" w:cs="Arial"/>
        </w:rPr>
        <w:t>ry forms available - NOW</w:t>
      </w:r>
      <w:r w:rsidRPr="008955EB">
        <w:rPr>
          <w:rFonts w:ascii="Century Gothic" w:hAnsi="Century Gothic" w:cs="Arial"/>
        </w:rPr>
        <w:t xml:space="preserve">  </w:t>
      </w:r>
    </w:p>
    <w:p w:rsidR="00AB7C18" w:rsidRPr="00207828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AB7C18" w:rsidRPr="008955EB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– 22 March 2019</w:t>
      </w:r>
    </w:p>
    <w:p w:rsidR="00AB7C18" w:rsidRPr="008955EB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AB7C18" w:rsidRPr="008955EB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AB7C18" w:rsidRDefault="00AB7C18" w:rsidP="00AB7C1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AB7C1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655E6" w:rsidRPr="00181F1A" w:rsidRDefault="00B655E6" w:rsidP="00B655E6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81F1A">
        <w:rPr>
          <w:rFonts w:ascii="Century Gothic" w:hAnsi="Century Gothic" w:cs="Arial"/>
          <w:b/>
          <w:sz w:val="24"/>
          <w:szCs w:val="24"/>
        </w:rPr>
        <w:t xml:space="preserve">Organisational </w:t>
      </w:r>
      <w:r>
        <w:rPr>
          <w:rFonts w:ascii="Century Gothic" w:hAnsi="Century Gothic" w:cs="Arial"/>
          <w:b/>
          <w:sz w:val="24"/>
          <w:szCs w:val="24"/>
        </w:rPr>
        <w:t xml:space="preserve">/ Project </w:t>
      </w:r>
      <w:r w:rsidRPr="00181F1A">
        <w:rPr>
          <w:rFonts w:ascii="Century Gothic" w:hAnsi="Century Gothic" w:cs="Arial"/>
          <w:b/>
          <w:sz w:val="24"/>
          <w:szCs w:val="24"/>
        </w:rPr>
        <w:t>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B655E6" w:rsidRDefault="00DB0125" w:rsidP="00B655E6">
      <w:pPr>
        <w:spacing w:after="0" w:line="240" w:lineRule="auto"/>
        <w:rPr>
          <w:rFonts w:ascii="Century Gothic" w:hAnsi="Century Gothic" w:cs="Arial"/>
          <w:b/>
          <w:szCs w:val="16"/>
        </w:rPr>
      </w:pPr>
      <w:sdt>
        <w:sdtPr>
          <w:rPr>
            <w:rFonts w:ascii="Century Gothic" w:hAnsi="Century Gothic" w:cs="Arial"/>
            <w:sz w:val="24"/>
            <w:szCs w:val="16"/>
          </w:rPr>
          <w:id w:val="-120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5E6" w:rsidRPr="005E5792">
            <w:rPr>
              <w:rFonts w:ascii="MS Gothic" w:eastAsia="MS Gothic" w:hAnsi="MS Gothic" w:cs="MS Gothic" w:hint="eastAsia"/>
              <w:sz w:val="24"/>
              <w:szCs w:val="16"/>
            </w:rPr>
            <w:t>☐</w:t>
          </w:r>
        </w:sdtContent>
      </w:sdt>
      <w:r w:rsidR="00B655E6" w:rsidRPr="005E5792">
        <w:rPr>
          <w:rFonts w:ascii="Century Gothic" w:hAnsi="Century Gothic" w:cs="Arial"/>
          <w:szCs w:val="16"/>
        </w:rPr>
        <w:tab/>
      </w:r>
      <w:r w:rsidR="00B655E6" w:rsidRPr="00F50425">
        <w:rPr>
          <w:rFonts w:ascii="Century Gothic" w:hAnsi="Century Gothic" w:cs="Arial"/>
          <w:b/>
          <w:szCs w:val="16"/>
        </w:rPr>
        <w:t xml:space="preserve">Power </w:t>
      </w:r>
      <w:r w:rsidR="00AB7C18">
        <w:rPr>
          <w:rFonts w:ascii="Century Gothic" w:hAnsi="Century Gothic" w:cs="Arial"/>
          <w:b/>
          <w:szCs w:val="16"/>
        </w:rPr>
        <w:t>Service Provider of the Year</w:t>
      </w:r>
      <w:r w:rsidR="00B655E6">
        <w:rPr>
          <w:rFonts w:ascii="Century Gothic" w:hAnsi="Century Gothic" w:cs="Arial"/>
          <w:b/>
          <w:szCs w:val="16"/>
        </w:rPr>
        <w:t xml:space="preserve"> </w:t>
      </w:r>
    </w:p>
    <w:p w:rsidR="00B655E6" w:rsidRDefault="00B655E6" w:rsidP="00B655E6">
      <w:pPr>
        <w:spacing w:after="0"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"/>
        </w:rPr>
        <w:t>This award recognises a</w:t>
      </w:r>
      <w:r w:rsidRPr="00D05D95">
        <w:rPr>
          <w:rFonts w:ascii="Century Gothic" w:hAnsi="Century Gothic"/>
          <w:sz w:val="18"/>
          <w:szCs w:val="18"/>
          <w:lang w:val="en"/>
        </w:rPr>
        <w:t xml:space="preserve"> power </w:t>
      </w:r>
      <w:r w:rsidR="00AB7C18">
        <w:rPr>
          <w:rFonts w:ascii="Century Gothic" w:hAnsi="Century Gothic"/>
          <w:sz w:val="18"/>
          <w:szCs w:val="18"/>
          <w:lang w:val="en"/>
        </w:rPr>
        <w:t xml:space="preserve">service provider (such as a utility) </w:t>
      </w:r>
      <w:r w:rsidRPr="00D05D95">
        <w:rPr>
          <w:rFonts w:ascii="Century Gothic" w:hAnsi="Century Gothic"/>
          <w:sz w:val="18"/>
          <w:szCs w:val="18"/>
          <w:lang w:val="en"/>
        </w:rPr>
        <w:t xml:space="preserve">in Africa that </w:t>
      </w:r>
      <w:r>
        <w:rPr>
          <w:rFonts w:ascii="Century Gothic" w:hAnsi="Century Gothic"/>
          <w:sz w:val="18"/>
          <w:szCs w:val="18"/>
          <w:lang w:val="en"/>
        </w:rPr>
        <w:t xml:space="preserve">has excelled in </w:t>
      </w:r>
      <w:r w:rsidRPr="00D05D95">
        <w:rPr>
          <w:rFonts w:ascii="Century Gothic" w:hAnsi="Century Gothic"/>
          <w:sz w:val="18"/>
          <w:szCs w:val="18"/>
          <w:lang w:val="en"/>
        </w:rPr>
        <w:t>any one or more of the following fields</w:t>
      </w:r>
      <w:r>
        <w:rPr>
          <w:rFonts w:ascii="Century Gothic" w:hAnsi="Century Gothic"/>
          <w:sz w:val="18"/>
          <w:szCs w:val="18"/>
          <w:lang w:val="en"/>
        </w:rPr>
        <w:t xml:space="preserve">: </w:t>
      </w:r>
      <w:r w:rsidRPr="00D05D95">
        <w:rPr>
          <w:rFonts w:ascii="Century Gothic" w:hAnsi="Century Gothic"/>
          <w:sz w:val="18"/>
          <w:szCs w:val="18"/>
          <w:lang w:val="en"/>
        </w:rPr>
        <w:t xml:space="preserve">Service delivery, project roll-out, technology roll-out, revenue protection measures, loss reduction, grid integration and new energy sources, including company </w:t>
      </w:r>
      <w:r w:rsidRPr="00D05D95">
        <w:rPr>
          <w:rFonts w:ascii="Century Gothic" w:hAnsi="Century Gothic"/>
          <w:sz w:val="18"/>
          <w:szCs w:val="18"/>
        </w:rPr>
        <w:t>contribution to sector growth, demonstrated expenditure reduction, increased capacity to deliver services and revenue collection, completion of infrastructure development or sustainable maintenance projects.</w:t>
      </w:r>
    </w:p>
    <w:p w:rsidR="00A805A2" w:rsidRDefault="00A805A2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51D2A" w:rsidRDefault="00351D2A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AB7C18" w:rsidRDefault="00AB7C18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B37A2B" w:rsidRDefault="00B37A2B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AB7C18" w:rsidRDefault="00AB7C1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AB7C18" w:rsidRDefault="00AB7C1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580F77" w:rsidRDefault="00AB7C1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>2019</w:t>
      </w:r>
      <w:r w:rsidR="00580F77">
        <w:rPr>
          <w:rFonts w:ascii="Century Gothic" w:hAnsi="Century Gothic" w:cs="Arial"/>
          <w:b/>
          <w:sz w:val="28"/>
        </w:rPr>
        <w:t xml:space="preserve"> 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B655E6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B655E6">
        <w:rPr>
          <w:rFonts w:ascii="Century Gothic" w:hAnsi="Century Gothic" w:cs="Arial"/>
          <w:b/>
          <w:sz w:val="24"/>
          <w:szCs w:val="24"/>
        </w:rPr>
        <w:t>Organisational / Project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B655E6" w:rsidRDefault="00B655E6" w:rsidP="00B655E6">
      <w:pPr>
        <w:spacing w:after="0" w:line="240" w:lineRule="auto"/>
        <w:rPr>
          <w:rFonts w:ascii="Century Gothic" w:hAnsi="Century Gothic" w:cs="Arial"/>
          <w:b/>
          <w:szCs w:val="16"/>
        </w:rPr>
      </w:pPr>
      <w:r w:rsidRPr="00F50425">
        <w:rPr>
          <w:rFonts w:ascii="Century Gothic" w:hAnsi="Century Gothic" w:cs="Arial"/>
          <w:b/>
          <w:szCs w:val="16"/>
        </w:rPr>
        <w:t xml:space="preserve">Power </w:t>
      </w:r>
      <w:r w:rsidR="00AB7C18">
        <w:rPr>
          <w:rFonts w:ascii="Century Gothic" w:hAnsi="Century Gothic" w:cs="Arial"/>
          <w:b/>
          <w:szCs w:val="16"/>
        </w:rPr>
        <w:t xml:space="preserve">Service Provider </w:t>
      </w:r>
      <w:r>
        <w:rPr>
          <w:rFonts w:ascii="Century Gothic" w:hAnsi="Century Gothic" w:cs="Arial"/>
          <w:b/>
          <w:szCs w:val="16"/>
        </w:rPr>
        <w:t xml:space="preserve"> </w:t>
      </w:r>
    </w:p>
    <w:p w:rsidR="00B655E6" w:rsidRPr="00B17696" w:rsidRDefault="00B655E6" w:rsidP="00B655E6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B17696">
        <w:rPr>
          <w:rFonts w:ascii="Century Gothic" w:hAnsi="Century Gothic"/>
          <w:b/>
          <w:sz w:val="18"/>
          <w:szCs w:val="18"/>
          <w:lang w:val="en"/>
        </w:rPr>
        <w:t xml:space="preserve">This award recognises a power </w:t>
      </w:r>
      <w:r w:rsidR="00AB7C18">
        <w:rPr>
          <w:rFonts w:ascii="Century Gothic" w:hAnsi="Century Gothic"/>
          <w:b/>
          <w:sz w:val="18"/>
          <w:szCs w:val="18"/>
          <w:lang w:val="en"/>
        </w:rPr>
        <w:t>service provider (such as a utility)</w:t>
      </w:r>
      <w:r w:rsidRPr="00B17696">
        <w:rPr>
          <w:rFonts w:ascii="Century Gothic" w:hAnsi="Century Gothic"/>
          <w:b/>
          <w:sz w:val="18"/>
          <w:szCs w:val="18"/>
          <w:lang w:val="en"/>
        </w:rPr>
        <w:t xml:space="preserve"> in Africa that has excelled </w:t>
      </w:r>
      <w:r>
        <w:rPr>
          <w:rFonts w:ascii="Century Gothic" w:hAnsi="Century Gothic"/>
          <w:b/>
          <w:sz w:val="18"/>
          <w:szCs w:val="18"/>
          <w:lang w:val="en"/>
        </w:rPr>
        <w:t xml:space="preserve">in </w:t>
      </w:r>
      <w:r w:rsidRPr="00B17696">
        <w:rPr>
          <w:rFonts w:ascii="Century Gothic" w:hAnsi="Century Gothic"/>
          <w:b/>
          <w:sz w:val="18"/>
          <w:szCs w:val="18"/>
          <w:lang w:val="en"/>
        </w:rPr>
        <w:t xml:space="preserve">any one or more of the following fields: Service delivery, project roll-out, technology roll-out, revenue protection measures, loss reduction, grid integration and new energy sources, including company </w:t>
      </w:r>
      <w:r w:rsidRPr="00B17696">
        <w:rPr>
          <w:rFonts w:ascii="Century Gothic" w:hAnsi="Century Gothic"/>
          <w:b/>
          <w:sz w:val="18"/>
          <w:szCs w:val="18"/>
        </w:rPr>
        <w:t>contribution to sector growth, demonstrated expenditure reduction, increased capacity to deliver services and revenue collection, completion of infrastructure development or sustainable maintenance projects.</w:t>
      </w:r>
    </w:p>
    <w:p w:rsidR="00B655E6" w:rsidRDefault="00B655E6" w:rsidP="00B655E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B655E6" w:rsidRDefault="00B655E6" w:rsidP="00B655E6">
      <w:pPr>
        <w:spacing w:after="0" w:line="240" w:lineRule="auto"/>
        <w:ind w:left="357"/>
        <w:contextualSpacing/>
        <w:jc w:val="both"/>
        <w:rPr>
          <w:rFonts w:ascii="Century Gothic" w:hAnsi="Century Gothic" w:cs="Arial"/>
          <w:b/>
          <w:sz w:val="18"/>
          <w:szCs w:val="18"/>
        </w:rPr>
      </w:pPr>
      <w:r w:rsidRPr="009240FD">
        <w:rPr>
          <w:rFonts w:ascii="Century Gothic" w:hAnsi="Century Gothic" w:cs="Arial"/>
          <w:b/>
          <w:sz w:val="18"/>
          <w:szCs w:val="18"/>
        </w:rPr>
        <w:t xml:space="preserve">Provide examples of how the </w:t>
      </w:r>
      <w:r w:rsidR="00AB7C18">
        <w:rPr>
          <w:rFonts w:ascii="Century Gothic" w:hAnsi="Century Gothic" w:cs="Arial"/>
          <w:b/>
          <w:sz w:val="18"/>
          <w:szCs w:val="18"/>
        </w:rPr>
        <w:t>service provider</w:t>
      </w:r>
      <w:r w:rsidRPr="009240FD">
        <w:rPr>
          <w:rFonts w:ascii="Century Gothic" w:hAnsi="Century Gothic" w:cs="Arial"/>
          <w:b/>
          <w:sz w:val="18"/>
          <w:szCs w:val="18"/>
        </w:rPr>
        <w:t xml:space="preserve"> is:</w:t>
      </w:r>
    </w:p>
    <w:p w:rsidR="00B655E6" w:rsidRPr="009240FD" w:rsidRDefault="00B655E6" w:rsidP="00B655E6">
      <w:pPr>
        <w:pStyle w:val="ListParagraph"/>
        <w:numPr>
          <w:ilvl w:val="0"/>
          <w:numId w:val="41"/>
        </w:numPr>
        <w:spacing w:after="120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Making</w:t>
      </w:r>
      <w:r w:rsidRPr="00C03DCE">
        <w:rPr>
          <w:rFonts w:ascii="Century Gothic" w:hAnsi="Century Gothic" w:cs="Arial"/>
          <w:sz w:val="18"/>
          <w:szCs w:val="18"/>
        </w:rPr>
        <w:t xml:space="preserve"> a significant contribution to th</w:t>
      </w:r>
      <w:r>
        <w:rPr>
          <w:rFonts w:ascii="Century Gothic" w:hAnsi="Century Gothic" w:cs="Arial"/>
          <w:sz w:val="18"/>
          <w:szCs w:val="18"/>
        </w:rPr>
        <w:t>e energy sector’s growth through</w:t>
      </w:r>
      <w:r w:rsidRPr="00C03DCE">
        <w:rPr>
          <w:rFonts w:ascii="Century Gothic" w:hAnsi="Century Gothic" w:cs="Arial"/>
          <w:sz w:val="18"/>
          <w:szCs w:val="18"/>
        </w:rPr>
        <w:t xml:space="preserve"> base-load generation capacity, transmission and distrib</w:t>
      </w:r>
      <w:r>
        <w:rPr>
          <w:rFonts w:ascii="Century Gothic" w:hAnsi="Century Gothic" w:cs="Arial"/>
          <w:sz w:val="18"/>
          <w:szCs w:val="18"/>
        </w:rPr>
        <w:t>ution, or smart grid deployment.</w:t>
      </w:r>
    </w:p>
    <w:p w:rsidR="00B655E6" w:rsidRPr="009240FD" w:rsidRDefault="00B655E6" w:rsidP="00B655E6">
      <w:pPr>
        <w:pStyle w:val="ListParagraph"/>
        <w:numPr>
          <w:ilvl w:val="0"/>
          <w:numId w:val="41"/>
        </w:numPr>
        <w:spacing w:after="120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</w:t>
      </w:r>
      <w:r w:rsidRPr="00C03DCE">
        <w:rPr>
          <w:rFonts w:ascii="Century Gothic" w:hAnsi="Century Gothic" w:cs="Arial"/>
          <w:sz w:val="18"/>
          <w:szCs w:val="18"/>
        </w:rPr>
        <w:t>inimising cost</w:t>
      </w:r>
      <w:r>
        <w:rPr>
          <w:rFonts w:ascii="Century Gothic" w:hAnsi="Century Gothic" w:cs="Arial"/>
          <w:sz w:val="18"/>
          <w:szCs w:val="18"/>
        </w:rPr>
        <w:t>s</w:t>
      </w:r>
      <w:r w:rsidRPr="00C03DCE">
        <w:rPr>
          <w:rFonts w:ascii="Century Gothic" w:hAnsi="Century Gothic" w:cs="Arial"/>
          <w:sz w:val="18"/>
          <w:szCs w:val="18"/>
        </w:rPr>
        <w:t xml:space="preserve"> through application of turnkey solutions and/or increased revenue collection</w:t>
      </w:r>
      <w:r>
        <w:rPr>
          <w:rFonts w:ascii="Century Gothic" w:hAnsi="Century Gothic" w:cs="Arial"/>
          <w:sz w:val="18"/>
          <w:szCs w:val="18"/>
        </w:rPr>
        <w:t>.</w:t>
      </w:r>
    </w:p>
    <w:p w:rsidR="00B655E6" w:rsidRDefault="00B655E6" w:rsidP="00B655E6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Succeeding</w:t>
      </w:r>
      <w:r w:rsidRPr="00C03DCE">
        <w:rPr>
          <w:rFonts w:ascii="Century Gothic" w:hAnsi="Century Gothic" w:cs="Arial"/>
          <w:sz w:val="18"/>
          <w:szCs w:val="18"/>
        </w:rPr>
        <w:t xml:space="preserve"> in increasing capacity to deliver services by initiation or completion of infrastructure developm</w:t>
      </w:r>
      <w:r>
        <w:rPr>
          <w:rFonts w:ascii="Century Gothic" w:hAnsi="Century Gothic" w:cs="Arial"/>
          <w:sz w:val="18"/>
          <w:szCs w:val="18"/>
        </w:rPr>
        <w:t>ent and/or maintenance projects.</w:t>
      </w:r>
    </w:p>
    <w:p w:rsidR="00B655E6" w:rsidRDefault="00B655E6" w:rsidP="00B655E6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Improving customer service (accessibility, responsiveness and handling customer complaints).</w:t>
      </w:r>
    </w:p>
    <w:p w:rsidR="00B655E6" w:rsidRPr="009240FD" w:rsidRDefault="00B655E6" w:rsidP="00B655E6">
      <w:pPr>
        <w:pStyle w:val="ListParagraph"/>
        <w:numPr>
          <w:ilvl w:val="0"/>
          <w:numId w:val="41"/>
        </w:numPr>
        <w:spacing w:after="120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9240FD">
        <w:rPr>
          <w:rFonts w:ascii="Century Gothic" w:hAnsi="Century Gothic" w:cs="Arial"/>
          <w:sz w:val="18"/>
          <w:szCs w:val="18"/>
        </w:rPr>
        <w:t xml:space="preserve">Working towards zero emission sustainable development goals (paperless operations, reduction in waste/ recycling efforts, </w:t>
      </w:r>
      <w:r>
        <w:rPr>
          <w:rFonts w:ascii="Century Gothic" w:hAnsi="Century Gothic" w:cs="Arial"/>
          <w:sz w:val="18"/>
          <w:szCs w:val="18"/>
        </w:rPr>
        <w:t>e</w:t>
      </w:r>
      <w:r w:rsidRPr="009240FD">
        <w:rPr>
          <w:rFonts w:ascii="Century Gothic" w:hAnsi="Century Gothic" w:cs="Arial"/>
          <w:sz w:val="18"/>
          <w:szCs w:val="18"/>
        </w:rPr>
        <w:t>nergy efficiency</w:t>
      </w:r>
      <w:r>
        <w:rPr>
          <w:rFonts w:ascii="Century Gothic" w:hAnsi="Century Gothic" w:cs="Arial"/>
          <w:sz w:val="18"/>
          <w:szCs w:val="18"/>
        </w:rPr>
        <w:t>).</w:t>
      </w:r>
      <w:r w:rsidRPr="009240FD">
        <w:rPr>
          <w:rFonts w:ascii="Century Gothic" w:hAnsi="Century Gothic" w:cs="Arial"/>
          <w:sz w:val="18"/>
          <w:szCs w:val="18"/>
        </w:rPr>
        <w:t xml:space="preserve">  </w:t>
      </w:r>
    </w:p>
    <w:p w:rsidR="00B655E6" w:rsidRPr="009240FD" w:rsidRDefault="00B655E6" w:rsidP="00B655E6">
      <w:pPr>
        <w:pStyle w:val="ListParagraph"/>
        <w:numPr>
          <w:ilvl w:val="0"/>
          <w:numId w:val="41"/>
        </w:numPr>
        <w:spacing w:after="120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9240FD">
        <w:rPr>
          <w:rFonts w:ascii="Century Gothic" w:hAnsi="Century Gothic" w:cs="Arial"/>
          <w:sz w:val="18"/>
          <w:szCs w:val="18"/>
        </w:rPr>
        <w:t xml:space="preserve">Operations (worker satisfaction, gender and youth policies and </w:t>
      </w:r>
      <w:r>
        <w:rPr>
          <w:rFonts w:ascii="Century Gothic" w:hAnsi="Century Gothic" w:cs="Arial"/>
          <w:sz w:val="18"/>
          <w:szCs w:val="18"/>
        </w:rPr>
        <w:t>s</w:t>
      </w:r>
      <w:r w:rsidRPr="009240FD">
        <w:rPr>
          <w:rFonts w:ascii="Century Gothic" w:hAnsi="Century Gothic" w:cs="Arial"/>
          <w:sz w:val="18"/>
          <w:szCs w:val="18"/>
        </w:rPr>
        <w:t>taff welfare</w:t>
      </w:r>
      <w:r>
        <w:rPr>
          <w:rFonts w:ascii="Century Gothic" w:hAnsi="Century Gothic" w:cs="Arial"/>
          <w:sz w:val="18"/>
          <w:szCs w:val="18"/>
        </w:rPr>
        <w:t xml:space="preserve">). </w:t>
      </w:r>
    </w:p>
    <w:p w:rsidR="00B655E6" w:rsidRPr="00D03B98" w:rsidRDefault="00B655E6" w:rsidP="00B655E6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is renewable energy being used / introduced?  </w:t>
      </w:r>
    </w:p>
    <w:p w:rsidR="00B37A2B" w:rsidRDefault="00B37A2B" w:rsidP="00351D2A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DB0125">
          <w:rPr>
            <w:rStyle w:val="Hyperlink"/>
            <w:rFonts w:ascii="Century Gothic" w:hAnsi="Century Gothic"/>
          </w:rPr>
          <w:t>Saligh.dollie</w:t>
        </w:r>
        <w:bookmarkStart w:id="0" w:name="_GoBack"/>
        <w:bookmarkEnd w:id="0"/>
        <w:r w:rsidR="00AB7C18" w:rsidRPr="00E92F63">
          <w:rPr>
            <w:rStyle w:val="Hyperlink"/>
            <w:rFonts w:ascii="Century Gothic" w:hAnsi="Century Gothic"/>
          </w:rPr>
          <w:t>@spintelligent.com</w:t>
        </w:r>
      </w:hyperlink>
      <w:r w:rsidR="00AB7C18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AB7C18">
        <w:rPr>
          <w:rFonts w:ascii="Century Gothic" w:hAnsi="Century Gothic"/>
          <w:b/>
        </w:rPr>
        <w:t>1 March 2019.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2B" w:rsidRDefault="00B37A2B" w:rsidP="00647D0A">
      <w:pPr>
        <w:spacing w:after="0" w:line="240" w:lineRule="auto"/>
      </w:pPr>
      <w:r>
        <w:separator/>
      </w:r>
    </w:p>
  </w:endnote>
  <w:end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B37A2B" w:rsidRPr="00417F9D" w:rsidRDefault="00B37A2B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DB0125">
          <w:rPr>
            <w:rFonts w:ascii="Century Gothic" w:hAnsi="Century Gothic" w:cs="Calibri"/>
            <w:noProof/>
          </w:rPr>
          <w:t>2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B37A2B" w:rsidRDefault="00B3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2B" w:rsidRDefault="00B37A2B" w:rsidP="00647D0A">
      <w:pPr>
        <w:spacing w:after="0" w:line="240" w:lineRule="auto"/>
      </w:pPr>
      <w:r>
        <w:separator/>
      </w:r>
    </w:p>
  </w:footnote>
  <w:footnote w:type="continuationSeparator" w:id="0">
    <w:p w:rsidR="00B37A2B" w:rsidRDefault="00B37A2B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2B" w:rsidRDefault="00AB7C18" w:rsidP="000E7741">
    <w:pPr>
      <w:pStyle w:val="Header"/>
    </w:pPr>
    <w:r>
      <w:rPr>
        <w:noProof/>
        <w:lang w:eastAsia="en-ZA"/>
      </w:rPr>
      <w:drawing>
        <wp:inline distT="0" distB="0" distL="0" distR="0" wp14:anchorId="5F666CF5" wp14:editId="776ECF76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7A2B" w:rsidRDefault="00B37A2B" w:rsidP="00745297">
    <w:pPr>
      <w:pStyle w:val="Header"/>
      <w:jc w:val="right"/>
    </w:pPr>
  </w:p>
  <w:p w:rsidR="00AB7C18" w:rsidRDefault="00AB7C18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</w:p>
  <w:p w:rsidR="00AB7C18" w:rsidRDefault="00AB7C18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90B72"/>
    <w:rsid w:val="001937D3"/>
    <w:rsid w:val="001B1F3F"/>
    <w:rsid w:val="001C2A41"/>
    <w:rsid w:val="001D5A52"/>
    <w:rsid w:val="001E0401"/>
    <w:rsid w:val="001E5133"/>
    <w:rsid w:val="002003CB"/>
    <w:rsid w:val="00207560"/>
    <w:rsid w:val="00207828"/>
    <w:rsid w:val="00223C10"/>
    <w:rsid w:val="00241D86"/>
    <w:rsid w:val="002567D2"/>
    <w:rsid w:val="002A0424"/>
    <w:rsid w:val="002A77FA"/>
    <w:rsid w:val="002B1A11"/>
    <w:rsid w:val="002B3069"/>
    <w:rsid w:val="002B36A1"/>
    <w:rsid w:val="002D26FD"/>
    <w:rsid w:val="002E77CD"/>
    <w:rsid w:val="002F6DD7"/>
    <w:rsid w:val="003134F8"/>
    <w:rsid w:val="0032388F"/>
    <w:rsid w:val="003258AD"/>
    <w:rsid w:val="00344EEC"/>
    <w:rsid w:val="0034514A"/>
    <w:rsid w:val="00351D2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F163B"/>
    <w:rsid w:val="003F4C5C"/>
    <w:rsid w:val="00402B2C"/>
    <w:rsid w:val="00417F9D"/>
    <w:rsid w:val="0042433F"/>
    <w:rsid w:val="004271BE"/>
    <w:rsid w:val="00433975"/>
    <w:rsid w:val="004340F0"/>
    <w:rsid w:val="004365EE"/>
    <w:rsid w:val="004545C3"/>
    <w:rsid w:val="00477C77"/>
    <w:rsid w:val="00494AEA"/>
    <w:rsid w:val="004A223F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37856"/>
    <w:rsid w:val="005548E6"/>
    <w:rsid w:val="00573D4E"/>
    <w:rsid w:val="00580F77"/>
    <w:rsid w:val="005842ED"/>
    <w:rsid w:val="00585B68"/>
    <w:rsid w:val="005B5951"/>
    <w:rsid w:val="005B693E"/>
    <w:rsid w:val="005B7712"/>
    <w:rsid w:val="005C201E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50F52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27EB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3852"/>
    <w:rsid w:val="00A77602"/>
    <w:rsid w:val="00A805A2"/>
    <w:rsid w:val="00A820D7"/>
    <w:rsid w:val="00A87CC2"/>
    <w:rsid w:val="00AA218D"/>
    <w:rsid w:val="00AA3843"/>
    <w:rsid w:val="00AA3D44"/>
    <w:rsid w:val="00AB7C18"/>
    <w:rsid w:val="00AC053E"/>
    <w:rsid w:val="00AC05CF"/>
    <w:rsid w:val="00AC31C5"/>
    <w:rsid w:val="00AD290C"/>
    <w:rsid w:val="00AD32B1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37A2B"/>
    <w:rsid w:val="00B456AF"/>
    <w:rsid w:val="00B461BF"/>
    <w:rsid w:val="00B613C0"/>
    <w:rsid w:val="00B655E6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B0125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A42"/>
    <w:rsid w:val="00F77F6C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4FAA067"/>
  <w15:docId w15:val="{4A234E8D-F087-4553-AD65-6EA267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s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9659-4540-4A5C-9B8C-47848F61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6</cp:revision>
  <cp:lastPrinted>2017-12-05T08:22:00Z</cp:lastPrinted>
  <dcterms:created xsi:type="dcterms:W3CDTF">2018-01-12T09:26:00Z</dcterms:created>
  <dcterms:modified xsi:type="dcterms:W3CDTF">2019-02-20T10:29:00Z</dcterms:modified>
</cp:coreProperties>
</file>